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F1B9F" w:rsidRDefault="00E63CEA">
      <w:pPr>
        <w:spacing w:after="0"/>
      </w:pPr>
      <w:r>
        <w:pict>
          <v:rect id="_x0000_s1026" style="width:2.85pt;height:2.85pt;mso-left-percent:-10001;mso-top-percent:-10001;mso-position-horizontal:absolute;mso-position-horizontal-relative:char;mso-position-vertical:absolute;mso-position-vertical-relative:line;mso-left-percent:-10001;mso-top-percent:-10001;v-text-anchor:middle" fillcolor="#9cf">
            <v:fill color2="#630"/>
            <v:stroke joinstyle="round"/>
            <w10:wrap type="none"/>
            <w10:anchorlock/>
          </v:rect>
        </w:pict>
      </w:r>
      <w:r w:rsidR="00FD5288">
        <w:t xml:space="preserve">  </w:t>
      </w:r>
      <w:r w:rsidR="00925E60">
        <w:rPr>
          <w:noProof/>
          <w:lang w:eastAsia="cs-CZ"/>
        </w:rPr>
        <w:drawing>
          <wp:inline distT="0" distB="0" distL="0" distR="0">
            <wp:extent cx="762000" cy="65341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62000" cy="653415"/>
                    </a:xfrm>
                    <a:prstGeom prst="rect">
                      <a:avLst/>
                    </a:prstGeom>
                    <a:noFill/>
                    <a:ln w="9360">
                      <a:noFill/>
                      <a:miter lim="800000"/>
                      <a:headEnd/>
                      <a:tailEnd/>
                    </a:ln>
                    <a:effectLst/>
                  </pic:spPr>
                </pic:pic>
              </a:graphicData>
            </a:graphic>
          </wp:inline>
        </w:drawing>
      </w:r>
      <w:r w:rsidR="00FD5288">
        <w:t xml:space="preserve">                 </w:t>
      </w:r>
    </w:p>
    <w:p w:rsidR="00AF1B9F" w:rsidRDefault="00FD5288" w:rsidP="00260D3F">
      <w:pPr>
        <w:spacing w:before="170" w:after="0"/>
        <w:jc w:val="center"/>
        <w:rPr>
          <w:b/>
          <w:sz w:val="24"/>
          <w:szCs w:val="24"/>
        </w:rPr>
      </w:pPr>
      <w:r>
        <w:rPr>
          <w:b/>
          <w:sz w:val="24"/>
          <w:szCs w:val="24"/>
        </w:rPr>
        <w:t>ÚVODNÍ KONFERENCE</w:t>
      </w:r>
    </w:p>
    <w:p w:rsidR="00AF1B9F" w:rsidRDefault="00FD5288" w:rsidP="00260D3F">
      <w:pPr>
        <w:spacing w:after="85"/>
        <w:jc w:val="center"/>
        <w:rPr>
          <w:b/>
          <w:sz w:val="24"/>
          <w:szCs w:val="24"/>
        </w:rPr>
      </w:pPr>
      <w:r>
        <w:rPr>
          <w:b/>
          <w:sz w:val="24"/>
          <w:szCs w:val="24"/>
        </w:rPr>
        <w:t xml:space="preserve">VÝBĚROVÉ ŘÍZENÍ NA REALIZÁTORA PAVILONU ÚČASTI ČR NA </w:t>
      </w:r>
      <w:r w:rsidR="00192418">
        <w:rPr>
          <w:b/>
          <w:sz w:val="24"/>
          <w:szCs w:val="24"/>
        </w:rPr>
        <w:t xml:space="preserve">VŠEOBCNÉ SVĚTOVÉ VÝSTAVĚ </w:t>
      </w:r>
      <w:r>
        <w:rPr>
          <w:b/>
          <w:sz w:val="24"/>
          <w:szCs w:val="24"/>
        </w:rPr>
        <w:t>EXPO 2015 MILÁN</w:t>
      </w:r>
    </w:p>
    <w:p w:rsidR="00260D3F" w:rsidRDefault="00FD5288" w:rsidP="00260D3F">
      <w:pPr>
        <w:spacing w:before="170" w:after="369"/>
        <w:jc w:val="center"/>
        <w:rPr>
          <w:b/>
          <w:sz w:val="24"/>
          <w:szCs w:val="24"/>
        </w:rPr>
      </w:pPr>
      <w:r>
        <w:rPr>
          <w:b/>
          <w:sz w:val="24"/>
          <w:szCs w:val="24"/>
        </w:rPr>
        <w:t>24. ŘÍJNA 2013</w:t>
      </w:r>
      <w:r w:rsidR="00260D3F">
        <w:rPr>
          <w:b/>
          <w:sz w:val="24"/>
          <w:szCs w:val="24"/>
        </w:rPr>
        <w:t>, PRAHA</w:t>
      </w:r>
    </w:p>
    <w:p w:rsidR="00260D3F" w:rsidRDefault="00260D3F" w:rsidP="00260D3F">
      <w:pPr>
        <w:spacing w:after="0"/>
      </w:pPr>
      <w:r w:rsidRPr="00260D3F">
        <w:t>Účastníci</w:t>
      </w:r>
      <w:r>
        <w:t xml:space="preserve"> za Kancelář generálního komisaře (KGK):</w:t>
      </w:r>
    </w:p>
    <w:p w:rsidR="00260D3F" w:rsidRDefault="00260D3F" w:rsidP="00260D3F">
      <w:pPr>
        <w:spacing w:after="0"/>
      </w:pPr>
    </w:p>
    <w:p w:rsidR="00260D3F" w:rsidRDefault="00260D3F" w:rsidP="00260D3F">
      <w:pPr>
        <w:spacing w:after="0"/>
      </w:pPr>
      <w:r>
        <w:t>Mgr. Jiří František Potužník, generální komisař</w:t>
      </w:r>
    </w:p>
    <w:p w:rsidR="00260D3F" w:rsidRDefault="00260D3F" w:rsidP="00260D3F">
      <w:pPr>
        <w:spacing w:after="0"/>
      </w:pPr>
      <w:r>
        <w:t>Mgr. Lucie Šustková, zástupce generálního komisaře</w:t>
      </w:r>
    </w:p>
    <w:p w:rsidR="00260D3F" w:rsidRDefault="00260D3F" w:rsidP="00260D3F">
      <w:pPr>
        <w:spacing w:after="0"/>
      </w:pPr>
      <w:r>
        <w:t>Mgr. Eva Štréglová, vedoucí kanceláře generálního komisaře</w:t>
      </w:r>
    </w:p>
    <w:p w:rsidR="00260D3F" w:rsidRDefault="00260D3F" w:rsidP="00260D3F">
      <w:pPr>
        <w:spacing w:after="0"/>
        <w:rPr>
          <w:rFonts w:ascii="Arial" w:hAnsi="Arial" w:cs="Arial"/>
          <w:sz w:val="20"/>
          <w:szCs w:val="20"/>
        </w:rPr>
      </w:pPr>
      <w:r>
        <w:t xml:space="preserve">Mgr. Jiří Kučera, </w:t>
      </w:r>
      <w:r>
        <w:rPr>
          <w:rFonts w:ascii="Arial" w:hAnsi="Arial" w:cs="Arial"/>
          <w:sz w:val="20"/>
          <w:szCs w:val="20"/>
        </w:rPr>
        <w:t>partner Kučera &amp; Associates, právní poradenská kancelář KGK pověřená organizací výběrového řízení na realizátora pavilonu Účasti ČR na VSV  EXPO 2015</w:t>
      </w:r>
    </w:p>
    <w:p w:rsidR="00260D3F" w:rsidRPr="00260D3F" w:rsidRDefault="00260D3F" w:rsidP="00260D3F">
      <w:pPr>
        <w:spacing w:after="0"/>
      </w:pPr>
    </w:p>
    <w:p w:rsidR="00AF1B9F" w:rsidRDefault="00FD5288" w:rsidP="00260D3F">
      <w:pPr>
        <w:spacing w:after="0"/>
      </w:pPr>
      <w:r>
        <w:t xml:space="preserve">Premisa: </w:t>
      </w:r>
    </w:p>
    <w:p w:rsidR="00AF1B9F" w:rsidRDefault="00FD5288">
      <w:pPr>
        <w:pStyle w:val="Odstavecseseznamem1"/>
        <w:numPr>
          <w:ilvl w:val="0"/>
          <w:numId w:val="1"/>
        </w:numPr>
        <w:jc w:val="both"/>
      </w:pPr>
      <w:r>
        <w:t>Úvodní konference se odehrála v souladu se zákonem o veřejných zakázkách a poskytla možnost uchazečům o účast ve výběrovém řízení na realizátora pavilonu účasti ČR na Všeobecné světové výstavě EXPO 2015 Milán konzultovat případné dotazy týkající se požadavků KGK</w:t>
      </w:r>
      <w:r w:rsidR="00854615">
        <w:t xml:space="preserve"> </w:t>
      </w:r>
      <w:r>
        <w:t>a partnerů expozice, nebo vyjasnění koncepce účasti ČR na EXPO 2015 Milán schválené vládou dne 20.12.2012.</w:t>
      </w:r>
    </w:p>
    <w:p w:rsidR="00AF1B9F" w:rsidRDefault="00FD5288">
      <w:pPr>
        <w:pStyle w:val="Odstavecseseznamem1"/>
        <w:numPr>
          <w:ilvl w:val="0"/>
          <w:numId w:val="1"/>
        </w:numPr>
        <w:jc w:val="both"/>
      </w:pPr>
      <w:r>
        <w:t xml:space="preserve">Během této konference nemohly být ústně zodpovídány zásadní otázky týkající se Zadávací dokumentace – tyto případné dotazy musí KGK obdržet v písemné formě s tím, že do čtyř dnů odpoví na ty, které se týkají zadavatele (KGK) a v nejbližší možné době na ty, které se týkají legislativy nebo italského organizátora EXPO 2015 Milán, pokud odpověď získá. </w:t>
      </w:r>
    </w:p>
    <w:p w:rsidR="00AF1B9F" w:rsidRDefault="00FD5288">
      <w:pPr>
        <w:pStyle w:val="Odstavecseseznamem1"/>
        <w:numPr>
          <w:ilvl w:val="0"/>
          <w:numId w:val="1"/>
        </w:numPr>
        <w:jc w:val="both"/>
      </w:pPr>
      <w:r>
        <w:t xml:space="preserve">KGK předkládá zápis </w:t>
      </w:r>
      <w:r w:rsidR="00FE71A4">
        <w:t>Ú</w:t>
      </w:r>
      <w:r>
        <w:t>vodní konference pro potřeby těch subjektů, které se jí neúčastnily, ale které mají zájem účastnit se výběrového řízení na realizátora pavilonu účasti ČR na EXPO 2015 Milán a podat v </w:t>
      </w:r>
      <w:r w:rsidR="00192418">
        <w:t>řádném</w:t>
      </w:r>
      <w:r>
        <w:t xml:space="preserve"> termínu – tedy do 2. prosince 2013 – svůj návrh. </w:t>
      </w:r>
    </w:p>
    <w:p w:rsidR="00AF1B9F" w:rsidRDefault="00FD5288">
      <w:pPr>
        <w:jc w:val="both"/>
      </w:pPr>
      <w:r>
        <w:t xml:space="preserve">Body jednání: </w:t>
      </w:r>
    </w:p>
    <w:p w:rsidR="00AF1B9F" w:rsidRDefault="00FD5288">
      <w:pPr>
        <w:pStyle w:val="Odstavecseseznamem1"/>
        <w:numPr>
          <w:ilvl w:val="0"/>
          <w:numId w:val="2"/>
        </w:numPr>
        <w:jc w:val="both"/>
        <w:rPr>
          <w:rFonts w:eastAsia="Times New Roman"/>
          <w:color w:val="000000"/>
        </w:rPr>
      </w:pPr>
      <w:r>
        <w:t xml:space="preserve">Generální komisař formou prezentace shrnul průběh příprav účasti ČR na EXPO 2015 Milán, stručně informoval o konceptu, tématech a </w:t>
      </w:r>
      <w:r w:rsidR="00FE71A4">
        <w:t xml:space="preserve">stavu příprav ze strany organizátorů EXPO. </w:t>
      </w:r>
      <w:r>
        <w:t xml:space="preserve">Zdůraznil nutnost </w:t>
      </w:r>
      <w:r>
        <w:rPr>
          <w:rFonts w:eastAsia="Times New Roman"/>
          <w:color w:val="000000"/>
        </w:rPr>
        <w:t>orientovat se na ekologii, jednoduchost a vtip, klást důraz na originalitu, atraktivitu pavilonu a dobrý nápad na vnitřní řešení expozice, i využití venkovního prostoru - pavilon ČR je jako jediný, který bude z obou stran dotýkán vodou.</w:t>
      </w:r>
    </w:p>
    <w:p w:rsidR="00AF1B9F" w:rsidRPr="00464364" w:rsidRDefault="00FD5288" w:rsidP="00464364">
      <w:pPr>
        <w:pStyle w:val="Odstavecseseznamem1"/>
        <w:numPr>
          <w:ilvl w:val="0"/>
          <w:numId w:val="2"/>
        </w:numPr>
        <w:jc w:val="both"/>
        <w:rPr>
          <w:rFonts w:eastAsia="Times New Roman"/>
          <w:color w:val="000000"/>
        </w:rPr>
      </w:pPr>
      <w:r>
        <w:rPr>
          <w:rFonts w:eastAsia="Times New Roman"/>
          <w:color w:val="000000"/>
        </w:rPr>
        <w:t xml:space="preserve">Generální komisař konstatoval, že vzhledem k tomu, že </w:t>
      </w:r>
      <w:r w:rsidR="00464364">
        <w:rPr>
          <w:rFonts w:eastAsia="Times New Roman"/>
          <w:color w:val="000000"/>
        </w:rPr>
        <w:t xml:space="preserve">v prvním výběrovém řízení </w:t>
      </w:r>
      <w:r>
        <w:rPr>
          <w:rFonts w:eastAsia="Times New Roman"/>
          <w:color w:val="000000"/>
        </w:rPr>
        <w:t>nepřišla žádná nabídka na realizátora pavilonu ČR, bylo nutné 10. října 2013 vyps</w:t>
      </w:r>
      <w:r w:rsidR="00464364">
        <w:rPr>
          <w:rFonts w:eastAsia="Times New Roman"/>
          <w:color w:val="000000"/>
        </w:rPr>
        <w:t>at</w:t>
      </w:r>
      <w:r>
        <w:rPr>
          <w:rFonts w:eastAsia="Times New Roman"/>
          <w:color w:val="000000"/>
        </w:rPr>
        <w:t xml:space="preserve"> </w:t>
      </w:r>
      <w:r w:rsidR="00FE71A4">
        <w:rPr>
          <w:rFonts w:eastAsia="Times New Roman"/>
          <w:color w:val="000000"/>
        </w:rPr>
        <w:t xml:space="preserve">modifikované </w:t>
      </w:r>
      <w:r>
        <w:rPr>
          <w:rFonts w:eastAsia="Times New Roman"/>
          <w:color w:val="000000"/>
        </w:rPr>
        <w:t>výběrové řízení</w:t>
      </w:r>
      <w:r w:rsidR="00FE71A4">
        <w:rPr>
          <w:rFonts w:eastAsia="Times New Roman"/>
          <w:color w:val="000000"/>
        </w:rPr>
        <w:t xml:space="preserve">.  </w:t>
      </w:r>
      <w:r w:rsidRPr="00464364">
        <w:rPr>
          <w:rFonts w:eastAsia="Times New Roman"/>
          <w:color w:val="000000"/>
        </w:rPr>
        <w:t xml:space="preserve">2. </w:t>
      </w:r>
      <w:r w:rsidR="00437DF7">
        <w:rPr>
          <w:rFonts w:eastAsia="Times New Roman"/>
          <w:color w:val="000000"/>
        </w:rPr>
        <w:t xml:space="preserve"> </w:t>
      </w:r>
      <w:r w:rsidRPr="00464364">
        <w:rPr>
          <w:rFonts w:eastAsia="Times New Roman"/>
          <w:color w:val="000000"/>
        </w:rPr>
        <w:t xml:space="preserve">prosince 2013 budou otevírány obálky a kontrolovány formální náležitosti dodaných návrhů a 13. prosince 2013 určí odborná hodnotící komise vítěze. </w:t>
      </w:r>
      <w:r w:rsidR="00464364">
        <w:rPr>
          <w:rFonts w:eastAsia="Times New Roman"/>
          <w:color w:val="000000"/>
        </w:rPr>
        <w:t>Generální komisař d</w:t>
      </w:r>
      <w:r w:rsidRPr="00464364">
        <w:rPr>
          <w:rFonts w:eastAsia="Times New Roman"/>
          <w:color w:val="000000"/>
        </w:rPr>
        <w:t xml:space="preserve">odal, že 1. dubna 2014 proběhne převzetí pozemku </w:t>
      </w:r>
      <w:r w:rsidR="00464364">
        <w:rPr>
          <w:rFonts w:eastAsia="Times New Roman"/>
          <w:color w:val="000000"/>
        </w:rPr>
        <w:t>od organizátorů</w:t>
      </w:r>
      <w:r w:rsidR="00437DF7">
        <w:rPr>
          <w:rFonts w:eastAsia="Times New Roman"/>
          <w:color w:val="000000"/>
        </w:rPr>
        <w:t>,</w:t>
      </w:r>
      <w:r w:rsidRPr="00464364">
        <w:rPr>
          <w:rFonts w:eastAsia="Times New Roman"/>
          <w:color w:val="000000"/>
        </w:rPr>
        <w:t xml:space="preserve"> 15. ledna 2015 </w:t>
      </w:r>
      <w:r w:rsidR="00464364">
        <w:rPr>
          <w:rFonts w:eastAsia="Times New Roman"/>
          <w:color w:val="000000"/>
        </w:rPr>
        <w:lastRenderedPageBreak/>
        <w:t xml:space="preserve">si KGK </w:t>
      </w:r>
      <w:r w:rsidRPr="00464364">
        <w:rPr>
          <w:rFonts w:eastAsia="Times New Roman"/>
          <w:color w:val="000000"/>
        </w:rPr>
        <w:t>pře</w:t>
      </w:r>
      <w:r w:rsidR="00464364">
        <w:rPr>
          <w:rFonts w:eastAsia="Times New Roman"/>
          <w:color w:val="000000"/>
        </w:rPr>
        <w:t>vezme</w:t>
      </w:r>
      <w:r w:rsidRPr="00464364">
        <w:rPr>
          <w:rFonts w:eastAsia="Times New Roman"/>
          <w:color w:val="000000"/>
        </w:rPr>
        <w:t xml:space="preserve"> pavilon do užívání a 15. listopadu 2015 bude vrácen majiteli. </w:t>
      </w:r>
    </w:p>
    <w:p w:rsidR="00AF1B9F" w:rsidRDefault="00FD5288">
      <w:pPr>
        <w:pStyle w:val="Odstavecseseznamem1"/>
        <w:numPr>
          <w:ilvl w:val="0"/>
          <w:numId w:val="2"/>
        </w:numPr>
        <w:jc w:val="both"/>
      </w:pPr>
      <w:r>
        <w:t>Generální komisař potvrdil, že pro realizátory jednotlivých částí interiéru platí povinnost respektovat prostorové, technologické a architektonické řešení pavilonu, a že závazné podklady pro přípravu jejich návrhů určí vítězný projekt výběrového řízení na realizátora pavilonu účasti ČR na EXPO 2015 Milán.</w:t>
      </w:r>
    </w:p>
    <w:p w:rsidR="00AF1B9F" w:rsidRDefault="00FD5288">
      <w:pPr>
        <w:pStyle w:val="Odstavecseseznamem1"/>
        <w:numPr>
          <w:ilvl w:val="0"/>
          <w:numId w:val="2"/>
        </w:numPr>
        <w:jc w:val="both"/>
      </w:pPr>
      <w:r>
        <w:t xml:space="preserve">Generální komisař </w:t>
      </w:r>
      <w:r w:rsidR="00FE71A4">
        <w:t xml:space="preserve">dále </w:t>
      </w:r>
      <w:r>
        <w:t>informoval, že výstup z této konference, včetně dnešní prezentace bude umístěn na webových stránkách KGK EXPO</w:t>
      </w:r>
      <w:r w:rsidR="00464364">
        <w:t xml:space="preserve"> a zápis pak také na profilu zadavatele</w:t>
      </w:r>
      <w:r>
        <w:t>.</w:t>
      </w:r>
    </w:p>
    <w:p w:rsidR="00AF1B9F" w:rsidRDefault="00FD5288">
      <w:pPr>
        <w:pStyle w:val="Odstavecseseznamem1"/>
        <w:numPr>
          <w:ilvl w:val="0"/>
          <w:numId w:val="2"/>
        </w:numPr>
        <w:jc w:val="both"/>
      </w:pPr>
      <w:r>
        <w:t xml:space="preserve">Generální komisař k dotazu </w:t>
      </w:r>
      <w:r w:rsidR="00925E60">
        <w:t>na nařízení organizátora VSV</w:t>
      </w:r>
      <w:r w:rsidR="00FE71A4">
        <w:t>,</w:t>
      </w:r>
      <w:r w:rsidR="00925E60">
        <w:t xml:space="preserve"> ve kterém je od všech účastnických zemí požadován předběžný návrh realizace pavilonu </w:t>
      </w:r>
      <w:r>
        <w:t>sdělil, že většina účastn</w:t>
      </w:r>
      <w:r w:rsidR="00464364">
        <w:t xml:space="preserve">ických zemí </w:t>
      </w:r>
      <w:r>
        <w:t>prohlásila, že není schopna takový návrh v</w:t>
      </w:r>
      <w:r w:rsidR="00925E60">
        <w:t xml:space="preserve"> požadovaném termínu </w:t>
      </w:r>
      <w:r>
        <w:t>předložit. Zdůraznil, že</w:t>
      </w:r>
      <w:r w:rsidR="00925E60">
        <w:t xml:space="preserve"> organizátorům VSV hned 13. prosince 2013 zašleme informace o vítězném návrhu účasti ČR.</w:t>
      </w:r>
      <w:r>
        <w:t xml:space="preserve"> </w:t>
      </w:r>
      <w:r w:rsidR="00925E60">
        <w:t xml:space="preserve"> </w:t>
      </w:r>
    </w:p>
    <w:p w:rsidR="00AF1B9F" w:rsidRDefault="00FD5288">
      <w:pPr>
        <w:pStyle w:val="Odstavecseseznamem1"/>
        <w:numPr>
          <w:ilvl w:val="0"/>
          <w:numId w:val="2"/>
        </w:numPr>
        <w:jc w:val="both"/>
      </w:pPr>
      <w:r>
        <w:t xml:space="preserve">Generální komisař k dotazu na výši </w:t>
      </w:r>
      <w:r w:rsidR="00925E60">
        <w:t>jistiny</w:t>
      </w:r>
      <w:r>
        <w:t xml:space="preserve"> požádal, aby takový dotaz byl předložen KGK písemně.</w:t>
      </w:r>
    </w:p>
    <w:p w:rsidR="00AF1B9F" w:rsidRDefault="00FD5288">
      <w:pPr>
        <w:pStyle w:val="Odstavecseseznamem1"/>
        <w:numPr>
          <w:ilvl w:val="0"/>
          <w:numId w:val="2"/>
        </w:numPr>
        <w:jc w:val="both"/>
      </w:pPr>
      <w:r>
        <w:t xml:space="preserve">Generální komisař na dotaz, zda je příkon energie na provoz pavilonu limitovaný informoval, že příkon limitován není a organizátoři </w:t>
      </w:r>
      <w:r w:rsidR="00925E60">
        <w:t>garantují ceny, které budou konkurence schopné i mimo EXPO site.</w:t>
      </w:r>
    </w:p>
    <w:p w:rsidR="00AF1B9F" w:rsidRDefault="00FD5288">
      <w:pPr>
        <w:pStyle w:val="Odstavecseseznamem1"/>
        <w:ind w:left="0"/>
        <w:jc w:val="both"/>
      </w:pPr>
      <w:r>
        <w:t xml:space="preserve"> </w:t>
      </w:r>
    </w:p>
    <w:p w:rsidR="00AF1B9F" w:rsidRDefault="00FD5288">
      <w:pPr>
        <w:jc w:val="both"/>
      </w:pPr>
      <w:r>
        <w:t xml:space="preserve">Závěr: </w:t>
      </w:r>
    </w:p>
    <w:p w:rsidR="00AF1B9F" w:rsidRDefault="00FD5288">
      <w:pPr>
        <w:jc w:val="both"/>
      </w:pPr>
      <w:r>
        <w:t xml:space="preserve">KGK je i nadále připravena odpovídat na písemné dotazy týkající se výběrového řízení na realizátora pavilonu účasti ČR na EXPO 2015 Milán, včetně jejich případného přeposílání italským organizátorům Všeobecné světové výstavy. KGK bude odpovědi uveřejňovat v souladu se zákonem na profilu zadavatele veřejné soutěže a na webových stránkách KGK.  </w:t>
      </w:r>
    </w:p>
    <w:p w:rsidR="00AF1B9F" w:rsidRDefault="00AF1B9F">
      <w:pPr>
        <w:rPr>
          <w:b/>
        </w:rPr>
      </w:pPr>
    </w:p>
    <w:p w:rsidR="00AF1B9F" w:rsidRDefault="00FD5288" w:rsidP="00FE71A4">
      <w:pPr>
        <w:spacing w:after="85"/>
        <w:rPr>
          <w:b/>
        </w:rPr>
      </w:pPr>
      <w:r>
        <w:rPr>
          <w:b/>
        </w:rPr>
        <w:t>Jiří F. Potužník,</w:t>
      </w:r>
    </w:p>
    <w:p w:rsidR="00AF1B9F" w:rsidRDefault="00FD5288">
      <w:r>
        <w:t xml:space="preserve">generální komisař účasti ČR na EXPO 2015 Milán                                                                                             </w:t>
      </w:r>
    </w:p>
    <w:p w:rsidR="00FD5288" w:rsidRDefault="00FD5288"/>
    <w:sectPr w:rsidR="00FD5288" w:rsidSect="00AF1B9F">
      <w:footerReference w:type="even" r:id="rId9"/>
      <w:footerReference w:type="default" r:id="rId10"/>
      <w:footnotePr>
        <w:pos w:val="beneathText"/>
      </w:footnotePr>
      <w:pgSz w:w="11905" w:h="16837"/>
      <w:pgMar w:top="1417" w:right="1417" w:bottom="1417" w:left="1417" w:header="708" w:footer="708" w:gutter="0"/>
      <w:cols w:space="708"/>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288" w:rsidRDefault="00FD5288">
      <w:pPr>
        <w:spacing w:after="0" w:line="240" w:lineRule="auto"/>
      </w:pPr>
      <w:r>
        <w:separator/>
      </w:r>
    </w:p>
  </w:endnote>
  <w:endnote w:type="continuationSeparator" w:id="0">
    <w:p w:rsidR="00FD5288" w:rsidRDefault="00FD52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B9F" w:rsidRDefault="00FD5288">
    <w:pPr>
      <w:pStyle w:val="Zpat"/>
      <w:jc w:val="center"/>
      <w:rPr>
        <w:rFonts w:ascii="Cambria" w:hAnsi="Cambria"/>
        <w:color w:val="4F81BD"/>
        <w:sz w:val="20"/>
        <w:szCs w:val="20"/>
      </w:rPr>
    </w:pPr>
    <w:r>
      <w:rPr>
        <w:rFonts w:ascii="Cambria" w:hAnsi="Cambria"/>
        <w:color w:val="4F81BD"/>
        <w:sz w:val="20"/>
        <w:szCs w:val="20"/>
      </w:rPr>
      <w:t>Kancelář generálního komisaře účasti České republiky na Všeobecné světové výstavě EXPO 2015 Milán</w:t>
    </w:r>
  </w:p>
  <w:p w:rsidR="00AF1B9F" w:rsidRDefault="00FD5288">
    <w:pPr>
      <w:pStyle w:val="Zpat"/>
      <w:rPr>
        <w:rFonts w:ascii="Cambria" w:hAnsi="Cambria"/>
        <w:color w:val="4F81BD"/>
        <w:sz w:val="20"/>
        <w:szCs w:val="20"/>
      </w:rPr>
    </w:pPr>
    <w:r>
      <w:rPr>
        <w:rFonts w:ascii="Cambria" w:hAnsi="Cambria"/>
        <w:color w:val="4F81BD"/>
        <w:sz w:val="20"/>
        <w:szCs w:val="20"/>
      </w:rPr>
      <w:t>Rytířská 31, 110 00 Praha 1                                                                                                                      www.czexpo.com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B9F" w:rsidRDefault="00FD5288">
    <w:pPr>
      <w:pStyle w:val="Zpat"/>
      <w:jc w:val="center"/>
      <w:rPr>
        <w:rFonts w:ascii="Cambria" w:hAnsi="Cambria"/>
        <w:color w:val="4F81BD"/>
        <w:sz w:val="20"/>
        <w:szCs w:val="20"/>
      </w:rPr>
    </w:pPr>
    <w:r>
      <w:rPr>
        <w:rFonts w:ascii="Cambria" w:hAnsi="Cambria"/>
        <w:color w:val="4F81BD"/>
        <w:sz w:val="20"/>
        <w:szCs w:val="20"/>
      </w:rPr>
      <w:t>Kancelář generálního komisaře účasti České republiky na Všeobecné světové výstavě EXPO 2015 Milán</w:t>
    </w:r>
  </w:p>
  <w:p w:rsidR="00AF1B9F" w:rsidRDefault="00FD5288">
    <w:pPr>
      <w:pStyle w:val="Zpat"/>
      <w:rPr>
        <w:rFonts w:ascii="Cambria" w:hAnsi="Cambria"/>
        <w:color w:val="4F81BD"/>
        <w:sz w:val="20"/>
        <w:szCs w:val="20"/>
      </w:rPr>
    </w:pPr>
    <w:r>
      <w:rPr>
        <w:rFonts w:ascii="Cambria" w:hAnsi="Cambria"/>
        <w:color w:val="4F81BD"/>
        <w:sz w:val="20"/>
        <w:szCs w:val="20"/>
      </w:rPr>
      <w:t>Rytířská 31, 110 00 Praha 1                                                                                                                      www.czexpo.com</w:t>
    </w:r>
  </w:p>
  <w:p w:rsidR="00AF1B9F" w:rsidRDefault="00AF1B9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288" w:rsidRDefault="00FD5288">
      <w:pPr>
        <w:spacing w:after="0" w:line="240" w:lineRule="auto"/>
      </w:pPr>
      <w:r>
        <w:separator/>
      </w:r>
    </w:p>
  </w:footnote>
  <w:footnote w:type="continuationSeparator" w:id="0">
    <w:p w:rsidR="00FD5288" w:rsidRDefault="00FD52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trackRevisions/>
  <w:defaultTabStop w:val="709"/>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192418"/>
    <w:rsid w:val="00192418"/>
    <w:rsid w:val="00260D3F"/>
    <w:rsid w:val="00437DF7"/>
    <w:rsid w:val="00464364"/>
    <w:rsid w:val="00483CF8"/>
    <w:rsid w:val="005F48A7"/>
    <w:rsid w:val="00720E1A"/>
    <w:rsid w:val="00854615"/>
    <w:rsid w:val="00925E60"/>
    <w:rsid w:val="0099198D"/>
    <w:rsid w:val="00AF1B9F"/>
    <w:rsid w:val="00E63CEA"/>
    <w:rsid w:val="00FD5288"/>
    <w:rsid w:val="00FE71A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1B9F"/>
    <w:pPr>
      <w:suppressAutoHyphens/>
      <w:spacing w:after="200" w:line="276" w:lineRule="auto"/>
    </w:pPr>
    <w:rPr>
      <w:rFonts w:ascii="Calibri" w:eastAsia="Arial Unicode MS" w:hAnsi="Calibri"/>
      <w:kern w:val="1"/>
      <w:sz w:val="22"/>
      <w:szCs w:val="22"/>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AF1B9F"/>
  </w:style>
  <w:style w:type="character" w:customStyle="1" w:styleId="TextbublinyChar">
    <w:name w:val="Text bubliny Char"/>
    <w:rsid w:val="00AF1B9F"/>
    <w:rPr>
      <w:rFonts w:ascii="Tahoma" w:hAnsi="Tahoma" w:cs="Tahoma"/>
      <w:sz w:val="16"/>
      <w:szCs w:val="16"/>
    </w:rPr>
  </w:style>
  <w:style w:type="character" w:customStyle="1" w:styleId="ZhlavChar">
    <w:name w:val="Záhlaví Char"/>
    <w:rsid w:val="00AF1B9F"/>
  </w:style>
  <w:style w:type="character" w:customStyle="1" w:styleId="ZpatChar">
    <w:name w:val="Zápatí Char"/>
    <w:rsid w:val="00AF1B9F"/>
  </w:style>
  <w:style w:type="paragraph" w:customStyle="1" w:styleId="Nadpis">
    <w:name w:val="Nadpis"/>
    <w:basedOn w:val="Normln"/>
    <w:next w:val="Zkladntext"/>
    <w:rsid w:val="00AF1B9F"/>
    <w:pPr>
      <w:keepNext/>
      <w:spacing w:before="240" w:after="120"/>
    </w:pPr>
    <w:rPr>
      <w:rFonts w:ascii="Arial" w:eastAsia="MS Mincho" w:hAnsi="Arial" w:cs="Tahoma"/>
      <w:sz w:val="28"/>
      <w:szCs w:val="28"/>
    </w:rPr>
  </w:style>
  <w:style w:type="paragraph" w:styleId="Zkladntext">
    <w:name w:val="Body Text"/>
    <w:basedOn w:val="Normln"/>
    <w:semiHidden/>
    <w:rsid w:val="00AF1B9F"/>
    <w:pPr>
      <w:spacing w:after="120"/>
    </w:pPr>
  </w:style>
  <w:style w:type="paragraph" w:styleId="Seznam">
    <w:name w:val="List"/>
    <w:basedOn w:val="Zkladntext"/>
    <w:semiHidden/>
    <w:rsid w:val="00AF1B9F"/>
    <w:rPr>
      <w:rFonts w:cs="Tahoma"/>
    </w:rPr>
  </w:style>
  <w:style w:type="paragraph" w:customStyle="1" w:styleId="Popisek">
    <w:name w:val="Popisek"/>
    <w:basedOn w:val="Normln"/>
    <w:rsid w:val="00AF1B9F"/>
    <w:pPr>
      <w:suppressLineNumbers/>
      <w:spacing w:before="120" w:after="120"/>
    </w:pPr>
    <w:rPr>
      <w:rFonts w:cs="Tahoma"/>
      <w:i/>
      <w:iCs/>
      <w:sz w:val="24"/>
      <w:szCs w:val="24"/>
    </w:rPr>
  </w:style>
  <w:style w:type="paragraph" w:customStyle="1" w:styleId="Rejstk">
    <w:name w:val="Rejstřík"/>
    <w:basedOn w:val="Normln"/>
    <w:rsid w:val="00AF1B9F"/>
    <w:pPr>
      <w:suppressLineNumbers/>
    </w:pPr>
    <w:rPr>
      <w:rFonts w:cs="Tahoma"/>
    </w:rPr>
  </w:style>
  <w:style w:type="paragraph" w:customStyle="1" w:styleId="Odstavecseseznamem1">
    <w:name w:val="Odstavec se seznamem1"/>
    <w:rsid w:val="00AF1B9F"/>
    <w:pPr>
      <w:widowControl w:val="0"/>
      <w:suppressAutoHyphens/>
      <w:spacing w:after="200" w:line="276" w:lineRule="auto"/>
      <w:ind w:left="720"/>
    </w:pPr>
    <w:rPr>
      <w:rFonts w:ascii="Calibri" w:eastAsia="Arial Unicode MS" w:hAnsi="Calibri"/>
      <w:kern w:val="1"/>
      <w:sz w:val="22"/>
      <w:szCs w:val="22"/>
      <w:lang w:eastAsia="ar-SA"/>
    </w:rPr>
  </w:style>
  <w:style w:type="paragraph" w:customStyle="1" w:styleId="Textbubliny1">
    <w:name w:val="Text bubliny1"/>
    <w:rsid w:val="00AF1B9F"/>
    <w:pPr>
      <w:widowControl w:val="0"/>
      <w:suppressAutoHyphens/>
      <w:spacing w:line="100" w:lineRule="atLeast"/>
    </w:pPr>
    <w:rPr>
      <w:rFonts w:ascii="Tahoma" w:eastAsia="Arial Unicode MS" w:hAnsi="Tahoma" w:cs="Tahoma"/>
      <w:kern w:val="1"/>
      <w:sz w:val="16"/>
      <w:szCs w:val="16"/>
      <w:lang w:eastAsia="ar-SA"/>
    </w:rPr>
  </w:style>
  <w:style w:type="paragraph" w:customStyle="1" w:styleId="Default">
    <w:name w:val="Default"/>
    <w:rsid w:val="00AF1B9F"/>
    <w:pPr>
      <w:suppressAutoHyphens/>
      <w:spacing w:line="100" w:lineRule="atLeast"/>
    </w:pPr>
    <w:rPr>
      <w:rFonts w:ascii="Calibri" w:eastAsia="Arial Unicode MS" w:hAnsi="Calibri" w:cs="Calibri"/>
      <w:color w:val="000000"/>
      <w:kern w:val="1"/>
      <w:sz w:val="24"/>
      <w:szCs w:val="24"/>
      <w:lang w:eastAsia="ar-SA"/>
    </w:rPr>
  </w:style>
  <w:style w:type="paragraph" w:customStyle="1" w:styleId="Bezmezer1">
    <w:name w:val="Bez mezer1"/>
    <w:basedOn w:val="Default"/>
    <w:rsid w:val="00AF1B9F"/>
    <w:rPr>
      <w:color w:val="00000A"/>
    </w:rPr>
  </w:style>
  <w:style w:type="paragraph" w:styleId="Zhlav">
    <w:name w:val="header"/>
    <w:semiHidden/>
    <w:rsid w:val="00AF1B9F"/>
    <w:pPr>
      <w:widowControl w:val="0"/>
      <w:suppressLineNumbers/>
      <w:tabs>
        <w:tab w:val="center" w:pos="4536"/>
        <w:tab w:val="right" w:pos="9072"/>
      </w:tabs>
      <w:suppressAutoHyphens/>
      <w:spacing w:line="100" w:lineRule="atLeast"/>
    </w:pPr>
    <w:rPr>
      <w:rFonts w:ascii="Calibri" w:eastAsia="Arial Unicode MS" w:hAnsi="Calibri"/>
      <w:kern w:val="1"/>
      <w:sz w:val="22"/>
      <w:szCs w:val="22"/>
      <w:lang w:eastAsia="ar-SA"/>
    </w:rPr>
  </w:style>
  <w:style w:type="paragraph" w:styleId="Zpat">
    <w:name w:val="footer"/>
    <w:semiHidden/>
    <w:rsid w:val="00AF1B9F"/>
    <w:pPr>
      <w:widowControl w:val="0"/>
      <w:suppressLineNumbers/>
      <w:tabs>
        <w:tab w:val="center" w:pos="4536"/>
        <w:tab w:val="right" w:pos="9072"/>
      </w:tabs>
      <w:suppressAutoHyphens/>
      <w:spacing w:line="100" w:lineRule="atLeast"/>
    </w:pPr>
    <w:rPr>
      <w:rFonts w:ascii="Calibri" w:eastAsia="Arial Unicode MS" w:hAnsi="Calibri"/>
      <w:kern w:val="1"/>
      <w:sz w:val="22"/>
      <w:szCs w:val="22"/>
      <w:lang w:eastAsia="ar-SA"/>
    </w:rPr>
  </w:style>
  <w:style w:type="paragraph" w:styleId="Textbubliny">
    <w:name w:val="Balloon Text"/>
    <w:basedOn w:val="Normln"/>
    <w:link w:val="TextbublinyChar1"/>
    <w:uiPriority w:val="99"/>
    <w:semiHidden/>
    <w:unhideWhenUsed/>
    <w:rsid w:val="00464364"/>
    <w:pPr>
      <w:spacing w:after="0" w:line="240" w:lineRule="auto"/>
    </w:pPr>
    <w:rPr>
      <w:rFonts w:ascii="Tahoma" w:hAnsi="Tahoma" w:cs="Tahoma"/>
      <w:sz w:val="16"/>
      <w:szCs w:val="16"/>
    </w:rPr>
  </w:style>
  <w:style w:type="character" w:customStyle="1" w:styleId="TextbublinyChar1">
    <w:name w:val="Text bubliny Char1"/>
    <w:basedOn w:val="Standardnpsmoodstavce"/>
    <w:link w:val="Textbubliny"/>
    <w:uiPriority w:val="99"/>
    <w:semiHidden/>
    <w:rsid w:val="00464364"/>
    <w:rPr>
      <w:rFonts w:ascii="Tahoma" w:eastAsia="Arial Unicode MS" w:hAnsi="Tahoma" w:cs="Tahoma"/>
      <w:kern w:val="1"/>
      <w:sz w:val="16"/>
      <w:szCs w:val="16"/>
      <w:lang w:eastAsia="ar-SA"/>
    </w:rPr>
  </w:style>
  <w:style w:type="character" w:styleId="Odkaznakoment">
    <w:name w:val="annotation reference"/>
    <w:basedOn w:val="Standardnpsmoodstavce"/>
    <w:uiPriority w:val="99"/>
    <w:semiHidden/>
    <w:unhideWhenUsed/>
    <w:rsid w:val="00464364"/>
    <w:rPr>
      <w:sz w:val="16"/>
      <w:szCs w:val="16"/>
    </w:rPr>
  </w:style>
  <w:style w:type="paragraph" w:styleId="Textkomente">
    <w:name w:val="annotation text"/>
    <w:basedOn w:val="Normln"/>
    <w:link w:val="TextkomenteChar"/>
    <w:uiPriority w:val="99"/>
    <w:semiHidden/>
    <w:unhideWhenUsed/>
    <w:rsid w:val="00464364"/>
    <w:rPr>
      <w:sz w:val="20"/>
      <w:szCs w:val="20"/>
    </w:rPr>
  </w:style>
  <w:style w:type="character" w:customStyle="1" w:styleId="TextkomenteChar">
    <w:name w:val="Text komentáře Char"/>
    <w:basedOn w:val="Standardnpsmoodstavce"/>
    <w:link w:val="Textkomente"/>
    <w:uiPriority w:val="99"/>
    <w:semiHidden/>
    <w:rsid w:val="00464364"/>
    <w:rPr>
      <w:rFonts w:ascii="Calibri" w:eastAsia="Arial Unicode MS" w:hAnsi="Calibri"/>
      <w:kern w:val="1"/>
      <w:lang w:eastAsia="ar-SA"/>
    </w:rPr>
  </w:style>
  <w:style w:type="paragraph" w:styleId="Pedmtkomente">
    <w:name w:val="annotation subject"/>
    <w:basedOn w:val="Textkomente"/>
    <w:next w:val="Textkomente"/>
    <w:link w:val="PedmtkomenteChar"/>
    <w:uiPriority w:val="99"/>
    <w:semiHidden/>
    <w:unhideWhenUsed/>
    <w:rsid w:val="00464364"/>
    <w:rPr>
      <w:b/>
      <w:bCs/>
    </w:rPr>
  </w:style>
  <w:style w:type="character" w:customStyle="1" w:styleId="PedmtkomenteChar">
    <w:name w:val="Předmět komentáře Char"/>
    <w:basedOn w:val="TextkomenteChar"/>
    <w:link w:val="Pedmtkomente"/>
    <w:uiPriority w:val="99"/>
    <w:semiHidden/>
    <w:rsid w:val="0046436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21779D-FCC8-4256-8AA5-D909D6978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604</Words>
  <Characters>3564</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Expo</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KGK Expo</dc:creator>
  <cp:keywords/>
  <cp:lastModifiedBy>KGK Expo</cp:lastModifiedBy>
  <cp:revision>2</cp:revision>
  <cp:lastPrinted>2013-05-16T13:53:00Z</cp:lastPrinted>
  <dcterms:created xsi:type="dcterms:W3CDTF">2013-10-30T09:53:00Z</dcterms:created>
  <dcterms:modified xsi:type="dcterms:W3CDTF">2013-10-30T09:53:00Z</dcterms:modified>
</cp:coreProperties>
</file>